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58" w:rsidRDefault="00861C1D" w:rsidP="00845464">
      <w:pPr>
        <w:pStyle w:val="BodyText"/>
      </w:pPr>
      <w:r>
        <w:t>The new clause under SEBI (Listing Obligations and Disclosure Requirement)</w:t>
      </w:r>
      <w:proofErr w:type="gramStart"/>
      <w:r>
        <w:t>,2015</w:t>
      </w:r>
      <w:proofErr w:type="gramEnd"/>
      <w:r>
        <w:t xml:space="preserve"> extends certain principle of corporate governance to material subsidiaries of listed companies.</w:t>
      </w:r>
    </w:p>
    <w:p w:rsidR="00572458" w:rsidRDefault="00572458">
      <w:pPr>
        <w:pStyle w:val="BodyText"/>
        <w:spacing w:before="9"/>
        <w:rPr>
          <w:sz w:val="31"/>
        </w:rPr>
      </w:pPr>
    </w:p>
    <w:p w:rsidR="00572458" w:rsidRDefault="00861C1D">
      <w:pPr>
        <w:pStyle w:val="BodyText"/>
        <w:spacing w:line="340" w:lineRule="auto"/>
        <w:ind w:left="2386" w:right="290"/>
        <w:jc w:val="both"/>
      </w:pPr>
      <w:r>
        <w:t xml:space="preserve">The Board of Directors of </w:t>
      </w:r>
      <w:proofErr w:type="spellStart"/>
      <w:r w:rsidR="00845464">
        <w:t>Peeti</w:t>
      </w:r>
      <w:proofErr w:type="spellEnd"/>
      <w:r w:rsidR="00845464">
        <w:t xml:space="preserve"> Securities</w:t>
      </w:r>
      <w:r w:rsidR="006264D8">
        <w:t xml:space="preserve"> Limited</w:t>
      </w:r>
      <w:r>
        <w:t xml:space="preserve"> (the “Company”) is obliged to formulate a policy for determining “material subsidiaries” to comply with the requirements of SEBI (Listing Obligations and Disclosure Requirement)</w:t>
      </w:r>
      <w:proofErr w:type="gramStart"/>
      <w:r>
        <w:t>,2015</w:t>
      </w:r>
      <w:proofErr w:type="gramEnd"/>
      <w:r>
        <w:t xml:space="preserve"> for such material subsidiaries.</w:t>
      </w:r>
    </w:p>
    <w:p w:rsidR="00CD108D" w:rsidRDefault="00CD108D">
      <w:pPr>
        <w:pStyle w:val="Heading1"/>
        <w:spacing w:before="199"/>
        <w:ind w:left="2386" w:firstLine="0"/>
        <w:jc w:val="both"/>
        <w:rPr>
          <w:u w:val="single"/>
        </w:rPr>
      </w:pPr>
    </w:p>
    <w:p w:rsidR="00CD108D" w:rsidRDefault="00CD108D">
      <w:pPr>
        <w:pStyle w:val="Heading1"/>
        <w:spacing w:before="199"/>
        <w:ind w:left="2386" w:firstLine="0"/>
        <w:jc w:val="both"/>
        <w:rPr>
          <w:u w:val="single"/>
        </w:rPr>
      </w:pPr>
    </w:p>
    <w:p w:rsidR="00572458" w:rsidRDefault="00861C1D">
      <w:pPr>
        <w:pStyle w:val="Heading1"/>
        <w:spacing w:before="199"/>
        <w:ind w:left="2386" w:firstLine="0"/>
        <w:jc w:val="both"/>
      </w:pPr>
      <w:bookmarkStart w:id="0" w:name="_GoBack"/>
      <w:bookmarkEnd w:id="0"/>
      <w:r>
        <w:rPr>
          <w:u w:val="single"/>
        </w:rPr>
        <w:t>DEFINITIONS</w:t>
      </w:r>
    </w:p>
    <w:p w:rsidR="00572458" w:rsidRDefault="00572458">
      <w:pPr>
        <w:pStyle w:val="BodyText"/>
        <w:rPr>
          <w:b/>
          <w:sz w:val="20"/>
        </w:rPr>
      </w:pPr>
    </w:p>
    <w:p w:rsidR="00572458" w:rsidRDefault="00861C1D">
      <w:pPr>
        <w:pStyle w:val="ListParagraph"/>
        <w:numPr>
          <w:ilvl w:val="0"/>
          <w:numId w:val="4"/>
        </w:numPr>
        <w:tabs>
          <w:tab w:val="left" w:pos="2747"/>
        </w:tabs>
        <w:jc w:val="both"/>
        <w:rPr>
          <w:b/>
          <w:sz w:val="21"/>
        </w:rPr>
      </w:pPr>
      <w:r>
        <w:rPr>
          <w:b/>
          <w:sz w:val="21"/>
        </w:rPr>
        <w:t>“Act”</w:t>
      </w:r>
    </w:p>
    <w:p w:rsidR="00572458" w:rsidRDefault="00861C1D">
      <w:pPr>
        <w:pStyle w:val="BodyText"/>
        <w:spacing w:before="118"/>
        <w:ind w:left="2746"/>
      </w:pPr>
      <w:r>
        <w:t>Act means Companies Act, 2013 &amp; rules made there under.</w:t>
      </w:r>
    </w:p>
    <w:p w:rsidR="00572458" w:rsidRDefault="00572458">
      <w:pPr>
        <w:pStyle w:val="BodyText"/>
        <w:spacing w:before="3"/>
        <w:rPr>
          <w:sz w:val="24"/>
        </w:rPr>
      </w:pPr>
    </w:p>
    <w:p w:rsidR="00572458" w:rsidRDefault="00861C1D">
      <w:pPr>
        <w:pStyle w:val="Heading1"/>
        <w:numPr>
          <w:ilvl w:val="0"/>
          <w:numId w:val="4"/>
        </w:numPr>
        <w:tabs>
          <w:tab w:val="left" w:pos="2747"/>
        </w:tabs>
        <w:jc w:val="both"/>
      </w:pPr>
      <w:r>
        <w:t>“Holding</w:t>
      </w:r>
      <w:r>
        <w:rPr>
          <w:spacing w:val="-2"/>
        </w:rPr>
        <w:t xml:space="preserve"> </w:t>
      </w:r>
      <w:r>
        <w:t>Company”</w:t>
      </w:r>
    </w:p>
    <w:p w:rsidR="00572458" w:rsidRDefault="00861C1D">
      <w:pPr>
        <w:pStyle w:val="BodyText"/>
        <w:spacing w:before="164" w:line="316" w:lineRule="auto"/>
        <w:ind w:left="2746"/>
      </w:pPr>
      <w:r>
        <w:t>Holding company in relation to one or more other companies, means a company of which such companies are subsidiaries companies.</w:t>
      </w:r>
    </w:p>
    <w:p w:rsidR="00572458" w:rsidRDefault="00861C1D">
      <w:pPr>
        <w:pStyle w:val="Heading1"/>
        <w:numPr>
          <w:ilvl w:val="0"/>
          <w:numId w:val="4"/>
        </w:numPr>
        <w:tabs>
          <w:tab w:val="left" w:pos="2747"/>
        </w:tabs>
        <w:spacing w:before="202"/>
      </w:pPr>
      <w:r>
        <w:t>“Subsidiary</w:t>
      </w:r>
      <w:r>
        <w:rPr>
          <w:spacing w:val="-2"/>
        </w:rPr>
        <w:t xml:space="preserve"> </w:t>
      </w:r>
      <w:r>
        <w:t>Company”</w:t>
      </w:r>
    </w:p>
    <w:p w:rsidR="00572458" w:rsidRDefault="00861C1D">
      <w:pPr>
        <w:pStyle w:val="BodyText"/>
        <w:spacing w:before="165" w:line="319" w:lineRule="auto"/>
        <w:ind w:left="2746" w:right="126"/>
      </w:pPr>
      <w:r>
        <w:t>Subsidiary company or subsidiary in relation to any other company (that is to say the holding company), means a company in which the holding company-</w:t>
      </w:r>
    </w:p>
    <w:p w:rsidR="00572458" w:rsidRDefault="00861C1D">
      <w:pPr>
        <w:pStyle w:val="ListParagraph"/>
        <w:numPr>
          <w:ilvl w:val="1"/>
          <w:numId w:val="4"/>
        </w:numPr>
        <w:tabs>
          <w:tab w:val="left" w:pos="3466"/>
          <w:tab w:val="left" w:pos="3467"/>
        </w:tabs>
        <w:spacing w:before="50"/>
        <w:rPr>
          <w:sz w:val="21"/>
        </w:rPr>
      </w:pPr>
      <w:r>
        <w:rPr>
          <w:sz w:val="21"/>
        </w:rPr>
        <w:t>Controls</w:t>
      </w:r>
      <w:r>
        <w:rPr>
          <w:position w:val="7"/>
          <w:sz w:val="18"/>
        </w:rPr>
        <w:t xml:space="preserve">1 </w:t>
      </w:r>
      <w:r>
        <w:rPr>
          <w:sz w:val="21"/>
        </w:rPr>
        <w:t>the composition of the Board of Directors;</w:t>
      </w:r>
      <w:r>
        <w:rPr>
          <w:spacing w:val="-5"/>
          <w:sz w:val="21"/>
        </w:rPr>
        <w:t xml:space="preserve"> </w:t>
      </w:r>
      <w:r>
        <w:rPr>
          <w:sz w:val="21"/>
        </w:rPr>
        <w:t>or</w:t>
      </w:r>
    </w:p>
    <w:p w:rsidR="00572458" w:rsidRDefault="00861C1D">
      <w:pPr>
        <w:pStyle w:val="ListParagraph"/>
        <w:numPr>
          <w:ilvl w:val="1"/>
          <w:numId w:val="4"/>
        </w:numPr>
        <w:tabs>
          <w:tab w:val="left" w:pos="3466"/>
          <w:tab w:val="left" w:pos="3467"/>
        </w:tabs>
        <w:spacing w:before="111" w:line="321" w:lineRule="auto"/>
        <w:ind w:right="287" w:hanging="511"/>
        <w:rPr>
          <w:sz w:val="21"/>
        </w:rPr>
      </w:pPr>
      <w:r>
        <w:rPr>
          <w:sz w:val="21"/>
        </w:rPr>
        <w:t>Exercises or controls more than one half of the total share capital either at its own or together with one or more of its subsidiary</w:t>
      </w:r>
      <w:r>
        <w:rPr>
          <w:spacing w:val="-14"/>
          <w:sz w:val="21"/>
        </w:rPr>
        <w:t xml:space="preserve"> </w:t>
      </w:r>
      <w:r>
        <w:rPr>
          <w:sz w:val="21"/>
        </w:rPr>
        <w:t>companies;</w:t>
      </w:r>
    </w:p>
    <w:p w:rsidR="00572458" w:rsidRDefault="00572458">
      <w:pPr>
        <w:pStyle w:val="BodyText"/>
        <w:spacing w:before="10"/>
        <w:rPr>
          <w:sz w:val="19"/>
        </w:rPr>
      </w:pPr>
    </w:p>
    <w:p w:rsidR="00572458" w:rsidRDefault="00861C1D">
      <w:pPr>
        <w:ind w:left="2847"/>
        <w:rPr>
          <w:i/>
          <w:sz w:val="21"/>
        </w:rPr>
      </w:pPr>
      <w:r>
        <w:rPr>
          <w:i/>
          <w:sz w:val="21"/>
        </w:rPr>
        <w:t>Explanation- For the purpose of this definition,-</w:t>
      </w:r>
    </w:p>
    <w:p w:rsidR="00572458" w:rsidRDefault="00572458">
      <w:pPr>
        <w:pStyle w:val="BodyText"/>
        <w:spacing w:before="1"/>
        <w:rPr>
          <w:i/>
          <w:sz w:val="24"/>
        </w:rPr>
      </w:pPr>
    </w:p>
    <w:p w:rsidR="00572458" w:rsidRDefault="00861C1D">
      <w:pPr>
        <w:pStyle w:val="ListParagraph"/>
        <w:numPr>
          <w:ilvl w:val="0"/>
          <w:numId w:val="3"/>
        </w:numPr>
        <w:tabs>
          <w:tab w:val="left" w:pos="3568"/>
        </w:tabs>
        <w:spacing w:line="336" w:lineRule="auto"/>
        <w:ind w:right="269"/>
        <w:jc w:val="both"/>
        <w:rPr>
          <w:sz w:val="21"/>
        </w:rPr>
      </w:pPr>
      <w:r>
        <w:rPr>
          <w:sz w:val="21"/>
        </w:rPr>
        <w:t>A company shall be deemed to be a subsidiary company of the holding company even if the control referred to in clause (i) or (ii) above is of another subsidiary company of the holding</w:t>
      </w:r>
      <w:r>
        <w:rPr>
          <w:spacing w:val="-3"/>
          <w:sz w:val="21"/>
        </w:rPr>
        <w:t xml:space="preserve"> </w:t>
      </w:r>
      <w:r>
        <w:rPr>
          <w:sz w:val="21"/>
        </w:rPr>
        <w:t>company;</w:t>
      </w:r>
    </w:p>
    <w:p w:rsidR="00572458" w:rsidRDefault="00861C1D">
      <w:pPr>
        <w:pStyle w:val="ListParagraph"/>
        <w:numPr>
          <w:ilvl w:val="0"/>
          <w:numId w:val="3"/>
        </w:numPr>
        <w:tabs>
          <w:tab w:val="left" w:pos="3568"/>
        </w:tabs>
        <w:spacing w:before="67" w:line="362" w:lineRule="auto"/>
        <w:ind w:right="287"/>
        <w:jc w:val="both"/>
        <w:rPr>
          <w:sz w:val="21"/>
        </w:rPr>
      </w:pPr>
      <w:r>
        <w:rPr>
          <w:sz w:val="21"/>
        </w:rPr>
        <w:t>The composition of a company’s Board of Directors shall be deemed to be controlled by another company if that other company by exercise of some power exercisable by it at its discretion can appoint or remove all or a majority of the</w:t>
      </w:r>
      <w:r>
        <w:rPr>
          <w:spacing w:val="-17"/>
          <w:sz w:val="21"/>
        </w:rPr>
        <w:t xml:space="preserve"> </w:t>
      </w:r>
      <w:r>
        <w:rPr>
          <w:sz w:val="21"/>
        </w:rPr>
        <w:t>directors;</w:t>
      </w:r>
    </w:p>
    <w:p w:rsidR="00572458" w:rsidRDefault="00861C1D">
      <w:pPr>
        <w:pStyle w:val="ListParagraph"/>
        <w:numPr>
          <w:ilvl w:val="0"/>
          <w:numId w:val="3"/>
        </w:numPr>
        <w:tabs>
          <w:tab w:val="left" w:pos="3567"/>
          <w:tab w:val="left" w:pos="3568"/>
        </w:tabs>
        <w:spacing w:line="242" w:lineRule="exact"/>
        <w:rPr>
          <w:sz w:val="21"/>
        </w:rPr>
      </w:pPr>
      <w:r>
        <w:rPr>
          <w:sz w:val="21"/>
        </w:rPr>
        <w:t>The expression “company” includes anybody</w:t>
      </w:r>
      <w:r>
        <w:rPr>
          <w:spacing w:val="-11"/>
          <w:sz w:val="21"/>
        </w:rPr>
        <w:t xml:space="preserve"> </w:t>
      </w:r>
      <w:r>
        <w:rPr>
          <w:sz w:val="21"/>
        </w:rPr>
        <w:t>corporate;</w:t>
      </w:r>
    </w:p>
    <w:p w:rsidR="00572458" w:rsidRDefault="00CD108D">
      <w:pPr>
        <w:pStyle w:val="BodyText"/>
        <w:spacing w:before="1"/>
        <w:rPr>
          <w:sz w:val="28"/>
        </w:rPr>
      </w:pPr>
      <w:r>
        <w:pict>
          <v:line id="_x0000_s1026" style="position:absolute;z-index:-251658752;mso-wrap-distance-left:0;mso-wrap-distance-right:0;mso-position-horizontal-relative:page" from="232.3pt,18.8pt" to="376.3pt,18.8pt" strokeweight=".25397mm">
            <w10:wrap type="topAndBottom" anchorx="page"/>
          </v:line>
        </w:pict>
      </w:r>
    </w:p>
    <w:p w:rsidR="00572458" w:rsidRDefault="00861C1D">
      <w:pPr>
        <w:spacing w:before="82" w:line="230" w:lineRule="auto"/>
        <w:ind w:left="2386" w:right="292" w:hanging="1"/>
        <w:jc w:val="both"/>
        <w:rPr>
          <w:sz w:val="20"/>
        </w:rPr>
      </w:pPr>
      <w:r>
        <w:rPr>
          <w:position w:val="6"/>
          <w:sz w:val="16"/>
        </w:rPr>
        <w:t xml:space="preserve">1 </w:t>
      </w:r>
      <w:r>
        <w:rPr>
          <w:sz w:val="20"/>
        </w:rPr>
        <w:t xml:space="preserve">The term "control" shall include the right to appoint majority of the directors or to control the management or policy decisions exercisable by a person or persons acting individually or in concert, directly or indirectly, </w:t>
      </w:r>
      <w:r>
        <w:rPr>
          <w:sz w:val="20"/>
        </w:rPr>
        <w:lastRenderedPageBreak/>
        <w:t>including by virtue of their shareholding or management rights or shareholders agreements or voting agreements or in any other manner as per Companies (Specifications of definitions details) Rules 2014</w:t>
      </w:r>
    </w:p>
    <w:p w:rsidR="00572458" w:rsidRDefault="00572458">
      <w:pPr>
        <w:spacing w:line="230" w:lineRule="auto"/>
        <w:jc w:val="both"/>
        <w:rPr>
          <w:sz w:val="20"/>
        </w:rPr>
      </w:pPr>
    </w:p>
    <w:p w:rsidR="00861C1D" w:rsidRDefault="00861C1D">
      <w:pPr>
        <w:spacing w:line="230" w:lineRule="auto"/>
        <w:jc w:val="both"/>
        <w:rPr>
          <w:sz w:val="20"/>
        </w:rPr>
        <w:sectPr w:rsidR="00861C1D">
          <w:type w:val="continuous"/>
          <w:pgSz w:w="15840" w:h="12240" w:orient="landscape"/>
          <w:pgMar w:top="180" w:right="1560" w:bottom="0" w:left="2260" w:header="720" w:footer="720" w:gutter="0"/>
          <w:cols w:space="720"/>
        </w:sectPr>
      </w:pPr>
    </w:p>
    <w:p w:rsidR="00861C1D" w:rsidRDefault="00861C1D">
      <w:pPr>
        <w:pStyle w:val="BodyText"/>
        <w:spacing w:line="128" w:lineRule="exact"/>
        <w:ind w:left="3473"/>
      </w:pPr>
    </w:p>
    <w:p w:rsidR="00861C1D" w:rsidRDefault="00861C1D">
      <w:pPr>
        <w:pStyle w:val="BodyText"/>
        <w:spacing w:line="128" w:lineRule="exact"/>
        <w:ind w:left="3473"/>
      </w:pPr>
    </w:p>
    <w:p w:rsidR="00861C1D" w:rsidRDefault="00861C1D">
      <w:pPr>
        <w:pStyle w:val="BodyText"/>
        <w:spacing w:line="128" w:lineRule="exact"/>
        <w:ind w:left="3473"/>
      </w:pPr>
    </w:p>
    <w:p w:rsidR="00861C1D" w:rsidRDefault="00861C1D">
      <w:pPr>
        <w:pStyle w:val="BodyText"/>
        <w:spacing w:line="128" w:lineRule="exact"/>
        <w:ind w:left="3473"/>
      </w:pPr>
    </w:p>
    <w:p w:rsidR="00572458" w:rsidRDefault="00861C1D">
      <w:pPr>
        <w:pStyle w:val="BodyText"/>
        <w:spacing w:line="128" w:lineRule="exact"/>
        <w:ind w:left="3473"/>
      </w:pPr>
      <w:proofErr w:type="gramStart"/>
      <w:r>
        <w:t>worth</w:t>
      </w:r>
      <w:proofErr w:type="gramEnd"/>
      <w:r>
        <w:t xml:space="preserve"> (i.e. paid up capital &amp; free reserves) exceeds 20% of the consolidated income or</w:t>
      </w:r>
    </w:p>
    <w:p w:rsidR="00572458" w:rsidRDefault="00861C1D">
      <w:pPr>
        <w:pStyle w:val="BodyText"/>
        <w:spacing w:before="109" w:line="343" w:lineRule="auto"/>
        <w:ind w:left="3473" w:right="833"/>
        <w:jc w:val="both"/>
      </w:pPr>
      <w:proofErr w:type="gramStart"/>
      <w:r>
        <w:t>net</w:t>
      </w:r>
      <w:proofErr w:type="gramEnd"/>
      <w:r>
        <w:t xml:space="preserve"> worth respectively, of the listed holding company &amp; its subsidiaries in the immediately preceding accounting year.</w:t>
      </w:r>
    </w:p>
    <w:p w:rsidR="00572458" w:rsidRDefault="00572458">
      <w:pPr>
        <w:pStyle w:val="BodyText"/>
        <w:spacing w:before="7"/>
        <w:rPr>
          <w:sz w:val="32"/>
        </w:rPr>
      </w:pPr>
    </w:p>
    <w:p w:rsidR="00572458" w:rsidRDefault="00861C1D">
      <w:pPr>
        <w:pStyle w:val="Heading1"/>
        <w:numPr>
          <w:ilvl w:val="0"/>
          <w:numId w:val="2"/>
        </w:numPr>
        <w:tabs>
          <w:tab w:val="left" w:pos="3474"/>
        </w:tabs>
        <w:spacing w:before="1"/>
      </w:pPr>
      <w:r>
        <w:t>“Material</w:t>
      </w:r>
      <w:r>
        <w:rPr>
          <w:spacing w:val="-3"/>
        </w:rPr>
        <w:t xml:space="preserve"> </w:t>
      </w:r>
      <w:r>
        <w:t>Subsidiary”</w:t>
      </w:r>
    </w:p>
    <w:p w:rsidR="00572458" w:rsidRDefault="00861C1D">
      <w:pPr>
        <w:pStyle w:val="BodyText"/>
        <w:spacing w:before="161" w:line="345" w:lineRule="auto"/>
        <w:ind w:left="3473" w:right="852"/>
        <w:jc w:val="both"/>
      </w:pPr>
      <w:r>
        <w:t xml:space="preserve">A subsidiary shall be considered as material if the investment of the company in the subsidiary exceeds 20% of its consolidated net worth as per the </w:t>
      </w:r>
      <w:proofErr w:type="gramStart"/>
      <w:r>
        <w:t>audited  balance</w:t>
      </w:r>
      <w:proofErr w:type="gramEnd"/>
      <w:r>
        <w:t xml:space="preserve"> sheet of the previous financial year or if the subsidiary has generated 20% of the consolidated income of the company during the previous financial</w:t>
      </w:r>
      <w:r>
        <w:rPr>
          <w:spacing w:val="-18"/>
        </w:rPr>
        <w:t xml:space="preserve"> </w:t>
      </w:r>
      <w:r>
        <w:t>year.</w:t>
      </w:r>
    </w:p>
    <w:p w:rsidR="00572458" w:rsidRDefault="00572458">
      <w:pPr>
        <w:pStyle w:val="BodyText"/>
        <w:spacing w:before="2"/>
        <w:rPr>
          <w:sz w:val="32"/>
        </w:rPr>
      </w:pPr>
    </w:p>
    <w:p w:rsidR="00572458" w:rsidRDefault="00861C1D">
      <w:pPr>
        <w:pStyle w:val="Heading1"/>
        <w:numPr>
          <w:ilvl w:val="0"/>
          <w:numId w:val="2"/>
        </w:numPr>
        <w:tabs>
          <w:tab w:val="left" w:pos="3474"/>
        </w:tabs>
      </w:pPr>
      <w:r>
        <w:t>“Significant transaction or</w:t>
      </w:r>
      <w:r>
        <w:rPr>
          <w:spacing w:val="-6"/>
        </w:rPr>
        <w:t xml:space="preserve"> </w:t>
      </w:r>
      <w:r>
        <w:t>arrangement”</w:t>
      </w:r>
    </w:p>
    <w:p w:rsidR="00572458" w:rsidRDefault="00861C1D">
      <w:pPr>
        <w:pStyle w:val="BodyText"/>
        <w:spacing w:before="165" w:line="338" w:lineRule="auto"/>
        <w:ind w:left="3473" w:right="850"/>
        <w:jc w:val="both"/>
      </w:pPr>
      <w:r>
        <w:t>It shall mean any individual transaction or arrangement that exceeds or is likely to exceed 10% of the total revenues or total expenses or total assets or total liabilities, as the case may be, of the material unlisted subsidiary for the immediately preceding financial</w:t>
      </w:r>
      <w:r>
        <w:rPr>
          <w:spacing w:val="-2"/>
        </w:rPr>
        <w:t xml:space="preserve"> </w:t>
      </w:r>
      <w:r>
        <w:t>year.</w:t>
      </w:r>
    </w:p>
    <w:p w:rsidR="00572458" w:rsidRDefault="00572458">
      <w:pPr>
        <w:pStyle w:val="BodyText"/>
        <w:spacing w:before="9"/>
        <w:rPr>
          <w:sz w:val="32"/>
        </w:rPr>
      </w:pPr>
    </w:p>
    <w:p w:rsidR="00572458" w:rsidRDefault="00861C1D">
      <w:pPr>
        <w:pStyle w:val="Heading1"/>
        <w:numPr>
          <w:ilvl w:val="0"/>
          <w:numId w:val="2"/>
        </w:numPr>
        <w:tabs>
          <w:tab w:val="left" w:pos="3474"/>
        </w:tabs>
      </w:pPr>
      <w:r>
        <w:t>“Audit</w:t>
      </w:r>
      <w:r>
        <w:rPr>
          <w:spacing w:val="-3"/>
        </w:rPr>
        <w:t xml:space="preserve"> </w:t>
      </w:r>
      <w:r>
        <w:t>Committee”</w:t>
      </w:r>
    </w:p>
    <w:p w:rsidR="00572458" w:rsidRDefault="00861C1D">
      <w:pPr>
        <w:pStyle w:val="BodyText"/>
        <w:spacing w:before="165" w:line="319" w:lineRule="auto"/>
        <w:ind w:left="3473" w:right="852"/>
        <w:jc w:val="both"/>
      </w:pPr>
      <w:r>
        <w:t>Audit Committee means the committee formed under Section 177 of the Companies Act, 2013.</w:t>
      </w:r>
    </w:p>
    <w:p w:rsidR="00572458" w:rsidRDefault="00572458">
      <w:pPr>
        <w:pStyle w:val="BodyText"/>
        <w:spacing w:before="3"/>
        <w:rPr>
          <w:sz w:val="20"/>
        </w:rPr>
      </w:pPr>
    </w:p>
    <w:p w:rsidR="00572458" w:rsidRDefault="00861C1D">
      <w:pPr>
        <w:pStyle w:val="Heading1"/>
        <w:ind w:left="3113" w:firstLine="0"/>
      </w:pPr>
      <w:r>
        <w:rPr>
          <w:u w:val="single"/>
        </w:rPr>
        <w:t>GUIDING PRINCIPLES</w:t>
      </w:r>
    </w:p>
    <w:p w:rsidR="00572458" w:rsidRDefault="00572458">
      <w:pPr>
        <w:pStyle w:val="BodyText"/>
        <w:spacing w:before="8"/>
        <w:rPr>
          <w:b/>
          <w:sz w:val="25"/>
        </w:rPr>
      </w:pPr>
    </w:p>
    <w:p w:rsidR="00572458" w:rsidRDefault="00861C1D">
      <w:pPr>
        <w:spacing w:before="101"/>
        <w:ind w:left="3113"/>
        <w:rPr>
          <w:sz w:val="21"/>
        </w:rPr>
      </w:pPr>
      <w:r>
        <w:rPr>
          <w:b/>
          <w:sz w:val="21"/>
        </w:rPr>
        <w:t xml:space="preserve">"Material subsidiary" </w:t>
      </w:r>
      <w:r>
        <w:rPr>
          <w:sz w:val="21"/>
        </w:rPr>
        <w:t>of the Company would be identified, which would include, if any:</w:t>
      </w:r>
    </w:p>
    <w:p w:rsidR="00572458" w:rsidRDefault="00572458">
      <w:pPr>
        <w:pStyle w:val="BodyText"/>
        <w:spacing w:before="11"/>
        <w:rPr>
          <w:sz w:val="33"/>
        </w:rPr>
      </w:pPr>
    </w:p>
    <w:p w:rsidR="00572458" w:rsidRDefault="00861C1D">
      <w:pPr>
        <w:pStyle w:val="ListParagraph"/>
        <w:numPr>
          <w:ilvl w:val="1"/>
          <w:numId w:val="2"/>
        </w:numPr>
        <w:tabs>
          <w:tab w:val="left" w:pos="3833"/>
          <w:tab w:val="left" w:pos="3834"/>
        </w:tabs>
        <w:rPr>
          <w:sz w:val="21"/>
        </w:rPr>
      </w:pPr>
      <w:r>
        <w:rPr>
          <w:sz w:val="21"/>
        </w:rPr>
        <w:t>Material listed Indian &amp; foreign</w:t>
      </w:r>
      <w:r>
        <w:rPr>
          <w:spacing w:val="-9"/>
          <w:sz w:val="21"/>
        </w:rPr>
        <w:t xml:space="preserve"> </w:t>
      </w:r>
      <w:r>
        <w:rPr>
          <w:sz w:val="21"/>
        </w:rPr>
        <w:t>subsidiaries</w:t>
      </w:r>
    </w:p>
    <w:p w:rsidR="00572458" w:rsidRDefault="00861C1D">
      <w:pPr>
        <w:pStyle w:val="ListParagraph"/>
        <w:numPr>
          <w:ilvl w:val="1"/>
          <w:numId w:val="2"/>
        </w:numPr>
        <w:tabs>
          <w:tab w:val="left" w:pos="3833"/>
          <w:tab w:val="left" w:pos="3834"/>
        </w:tabs>
        <w:spacing w:before="122"/>
        <w:rPr>
          <w:sz w:val="21"/>
        </w:rPr>
      </w:pPr>
      <w:r>
        <w:rPr>
          <w:sz w:val="21"/>
        </w:rPr>
        <w:t>Material non listed foreign</w:t>
      </w:r>
      <w:r>
        <w:rPr>
          <w:spacing w:val="-11"/>
          <w:sz w:val="21"/>
        </w:rPr>
        <w:t xml:space="preserve"> </w:t>
      </w:r>
      <w:r>
        <w:rPr>
          <w:sz w:val="21"/>
        </w:rPr>
        <w:t>subsidiary</w:t>
      </w:r>
    </w:p>
    <w:p w:rsidR="00572458" w:rsidRDefault="00572458">
      <w:pPr>
        <w:pStyle w:val="BodyText"/>
        <w:rPr>
          <w:sz w:val="24"/>
        </w:rPr>
      </w:pPr>
    </w:p>
    <w:p w:rsidR="00572458" w:rsidRDefault="00861C1D">
      <w:pPr>
        <w:pStyle w:val="BodyText"/>
        <w:spacing w:before="163" w:line="316" w:lineRule="auto"/>
        <w:ind w:left="3113" w:right="852"/>
        <w:jc w:val="both"/>
      </w:pPr>
      <w:proofErr w:type="gramStart"/>
      <w:r>
        <w:t>as</w:t>
      </w:r>
      <w:proofErr w:type="gramEnd"/>
      <w:r>
        <w:t xml:space="preserve"> one time exercise and such exercise shall be done during each financial year and the conclusion placed before the Audit Committee and the Board of Directors of the Company.</w:t>
      </w:r>
    </w:p>
    <w:p w:rsidR="00572458" w:rsidRDefault="00572458">
      <w:pPr>
        <w:pStyle w:val="BodyText"/>
        <w:spacing w:before="2"/>
        <w:rPr>
          <w:sz w:val="31"/>
        </w:rPr>
      </w:pPr>
    </w:p>
    <w:p w:rsidR="00572458" w:rsidRDefault="00861C1D">
      <w:pPr>
        <w:pStyle w:val="BodyText"/>
        <w:spacing w:line="338" w:lineRule="auto"/>
        <w:ind w:left="3113" w:right="852"/>
        <w:jc w:val="both"/>
      </w:pPr>
      <w:r>
        <w:rPr>
          <w:b/>
        </w:rPr>
        <w:t xml:space="preserve">"Material </w:t>
      </w:r>
      <w:proofErr w:type="gramStart"/>
      <w:r>
        <w:rPr>
          <w:b/>
        </w:rPr>
        <w:t>non</w:t>
      </w:r>
      <w:proofErr w:type="gramEnd"/>
      <w:r>
        <w:rPr>
          <w:b/>
        </w:rPr>
        <w:t xml:space="preserve"> listed Indian subsidiary" </w:t>
      </w:r>
      <w:r>
        <w:t>of the Company would be identified, if any, as one time exercise and such exercise shall be done during each financial year and the conclusion placed before the Audit Committee and the Board of the Company.</w:t>
      </w:r>
    </w:p>
    <w:p w:rsidR="00572458" w:rsidRDefault="00572458">
      <w:pPr>
        <w:spacing w:line="338" w:lineRule="auto"/>
        <w:jc w:val="both"/>
        <w:sectPr w:rsidR="00572458">
          <w:pgSz w:w="15840" w:h="12240" w:orient="landscape"/>
          <w:pgMar w:top="0" w:right="1560" w:bottom="280" w:left="2260" w:header="720" w:footer="720" w:gutter="0"/>
          <w:cols w:space="720"/>
        </w:sectPr>
      </w:pPr>
    </w:p>
    <w:p w:rsidR="00861C1D" w:rsidRDefault="00861C1D">
      <w:pPr>
        <w:spacing w:line="159" w:lineRule="exact"/>
        <w:ind w:left="3924"/>
      </w:pPr>
    </w:p>
    <w:p w:rsidR="00861C1D" w:rsidRDefault="00861C1D">
      <w:pPr>
        <w:spacing w:line="159" w:lineRule="exact"/>
        <w:ind w:left="3924"/>
      </w:pPr>
    </w:p>
    <w:p w:rsidR="00861C1D" w:rsidRDefault="00861C1D">
      <w:pPr>
        <w:spacing w:line="159" w:lineRule="exact"/>
        <w:ind w:left="3924"/>
      </w:pPr>
    </w:p>
    <w:p w:rsidR="00572458" w:rsidRDefault="00861C1D">
      <w:pPr>
        <w:spacing w:line="159" w:lineRule="exact"/>
        <w:ind w:left="3924"/>
      </w:pPr>
      <w:proofErr w:type="gramStart"/>
      <w:r>
        <w:t>financial</w:t>
      </w:r>
      <w:proofErr w:type="gramEnd"/>
      <w:r>
        <w:t xml:space="preserve"> statements, in particular the investments made by the unlisted</w:t>
      </w:r>
    </w:p>
    <w:p w:rsidR="00572458" w:rsidRDefault="00861C1D">
      <w:pPr>
        <w:spacing w:before="1"/>
        <w:ind w:left="3924"/>
      </w:pPr>
      <w:proofErr w:type="gramStart"/>
      <w:r>
        <w:t>subsidiary</w:t>
      </w:r>
      <w:proofErr w:type="gramEnd"/>
      <w:r>
        <w:t xml:space="preserve"> company;</w:t>
      </w:r>
    </w:p>
    <w:p w:rsidR="00572458" w:rsidRDefault="00861C1D">
      <w:pPr>
        <w:pStyle w:val="ListParagraph"/>
        <w:numPr>
          <w:ilvl w:val="2"/>
          <w:numId w:val="2"/>
        </w:numPr>
        <w:tabs>
          <w:tab w:val="left" w:pos="3925"/>
        </w:tabs>
        <w:spacing w:before="92"/>
        <w:ind w:right="473"/>
        <w:jc w:val="both"/>
      </w:pPr>
      <w:r>
        <w:t>The minutes of the Board meetings of the unlisted subsidiary company shall be placed at the Board meeting of the listed holding</w:t>
      </w:r>
      <w:r>
        <w:rPr>
          <w:spacing w:val="-17"/>
        </w:rPr>
        <w:t xml:space="preserve"> </w:t>
      </w:r>
      <w:r>
        <w:t>company;</w:t>
      </w:r>
    </w:p>
    <w:p w:rsidR="00572458" w:rsidRDefault="00861C1D">
      <w:pPr>
        <w:pStyle w:val="ListParagraph"/>
        <w:numPr>
          <w:ilvl w:val="2"/>
          <w:numId w:val="2"/>
        </w:numPr>
        <w:tabs>
          <w:tab w:val="left" w:pos="3925"/>
        </w:tabs>
        <w:spacing w:before="188"/>
        <w:ind w:right="470"/>
        <w:jc w:val="both"/>
      </w:pPr>
      <w:r>
        <w:t>The management shall periodically bring to the attention of the Board of Directors of the listed holding company, a statement of all significant transactions &amp; arrangements entered into by the unlisted subsidiary</w:t>
      </w:r>
      <w:r>
        <w:rPr>
          <w:spacing w:val="-28"/>
        </w:rPr>
        <w:t xml:space="preserve"> </w:t>
      </w:r>
      <w:r>
        <w:t>company;</w:t>
      </w:r>
    </w:p>
    <w:p w:rsidR="00572458" w:rsidRDefault="00861C1D">
      <w:pPr>
        <w:pStyle w:val="ListParagraph"/>
        <w:numPr>
          <w:ilvl w:val="2"/>
          <w:numId w:val="2"/>
        </w:numPr>
        <w:tabs>
          <w:tab w:val="left" w:pos="3925"/>
        </w:tabs>
        <w:spacing w:before="188"/>
        <w:ind w:right="472"/>
        <w:jc w:val="both"/>
      </w:pPr>
      <w:r>
        <w:t>Subsidiary company shall not either by its own or through its nominees, holds any shares in its holding company &amp; no holding company shall allot or transfer its shares to any of its subsidiary companies &amp; any such allotment or transfer of shares of a company to its subsidiary company shall be</w:t>
      </w:r>
      <w:r>
        <w:rPr>
          <w:spacing w:val="-19"/>
        </w:rPr>
        <w:t xml:space="preserve"> </w:t>
      </w:r>
      <w:r>
        <w:t>void.</w:t>
      </w:r>
    </w:p>
    <w:p w:rsidR="00572458" w:rsidRDefault="00861C1D">
      <w:pPr>
        <w:pStyle w:val="ListParagraph"/>
        <w:numPr>
          <w:ilvl w:val="2"/>
          <w:numId w:val="2"/>
        </w:numPr>
        <w:tabs>
          <w:tab w:val="left" w:pos="3925"/>
        </w:tabs>
        <w:spacing w:before="185"/>
        <w:rPr>
          <w:sz w:val="21"/>
        </w:rPr>
      </w:pPr>
      <w:r>
        <w:rPr>
          <w:sz w:val="21"/>
        </w:rPr>
        <w:t>Nothing contained in this clause, shall apply to a</w:t>
      </w:r>
      <w:r>
        <w:rPr>
          <w:spacing w:val="-17"/>
          <w:sz w:val="21"/>
        </w:rPr>
        <w:t xml:space="preserve"> </w:t>
      </w:r>
      <w:r>
        <w:rPr>
          <w:sz w:val="21"/>
        </w:rPr>
        <w:t>case:-</w:t>
      </w:r>
    </w:p>
    <w:p w:rsidR="00572458" w:rsidRDefault="00861C1D">
      <w:pPr>
        <w:pStyle w:val="ListParagraph"/>
        <w:numPr>
          <w:ilvl w:val="3"/>
          <w:numId w:val="2"/>
        </w:numPr>
        <w:tabs>
          <w:tab w:val="left" w:pos="4644"/>
          <w:tab w:val="left" w:pos="4645"/>
        </w:tabs>
        <w:spacing w:before="201" w:line="297" w:lineRule="auto"/>
        <w:ind w:right="490"/>
        <w:rPr>
          <w:sz w:val="21"/>
        </w:rPr>
      </w:pPr>
      <w:r>
        <w:rPr>
          <w:sz w:val="21"/>
        </w:rPr>
        <w:t>Where the subsidiary company holds such shares as the legal representative of a deceased member of the holding company;</w:t>
      </w:r>
      <w:r>
        <w:rPr>
          <w:spacing w:val="-11"/>
          <w:sz w:val="21"/>
        </w:rPr>
        <w:t xml:space="preserve"> </w:t>
      </w:r>
      <w:r>
        <w:rPr>
          <w:sz w:val="21"/>
        </w:rPr>
        <w:t>or</w:t>
      </w:r>
    </w:p>
    <w:p w:rsidR="00572458" w:rsidRDefault="00861C1D">
      <w:pPr>
        <w:pStyle w:val="ListParagraph"/>
        <w:numPr>
          <w:ilvl w:val="3"/>
          <w:numId w:val="2"/>
        </w:numPr>
        <w:tabs>
          <w:tab w:val="left" w:pos="4644"/>
          <w:tab w:val="left" w:pos="4645"/>
        </w:tabs>
        <w:spacing w:before="57"/>
        <w:rPr>
          <w:sz w:val="21"/>
        </w:rPr>
      </w:pPr>
      <w:r>
        <w:rPr>
          <w:sz w:val="21"/>
        </w:rPr>
        <w:t>Where the subsidiary company holds such shares as a trustee;</w:t>
      </w:r>
      <w:r>
        <w:rPr>
          <w:spacing w:val="-18"/>
          <w:sz w:val="21"/>
        </w:rPr>
        <w:t xml:space="preserve"> </w:t>
      </w:r>
      <w:r>
        <w:rPr>
          <w:sz w:val="21"/>
        </w:rPr>
        <w:t>or</w:t>
      </w:r>
    </w:p>
    <w:p w:rsidR="00572458" w:rsidRDefault="00861C1D">
      <w:pPr>
        <w:pStyle w:val="ListParagraph"/>
        <w:numPr>
          <w:ilvl w:val="3"/>
          <w:numId w:val="2"/>
        </w:numPr>
        <w:tabs>
          <w:tab w:val="left" w:pos="4644"/>
          <w:tab w:val="left" w:pos="4645"/>
        </w:tabs>
        <w:spacing w:before="179" w:line="297" w:lineRule="auto"/>
        <w:ind w:right="489"/>
        <w:rPr>
          <w:sz w:val="21"/>
        </w:rPr>
      </w:pPr>
      <w:r>
        <w:rPr>
          <w:sz w:val="21"/>
        </w:rPr>
        <w:t>Where the subsidiary company is a shareholder even before it became a subsidiary company of the holding</w:t>
      </w:r>
      <w:r>
        <w:rPr>
          <w:spacing w:val="-12"/>
          <w:sz w:val="21"/>
        </w:rPr>
        <w:t xml:space="preserve"> </w:t>
      </w:r>
      <w:r>
        <w:rPr>
          <w:sz w:val="21"/>
        </w:rPr>
        <w:t>company.</w:t>
      </w:r>
    </w:p>
    <w:p w:rsidR="00572458" w:rsidRDefault="00572458">
      <w:pPr>
        <w:pStyle w:val="BodyText"/>
        <w:spacing w:before="3"/>
        <w:rPr>
          <w:sz w:val="29"/>
        </w:rPr>
      </w:pPr>
    </w:p>
    <w:p w:rsidR="00572458" w:rsidRDefault="00861C1D">
      <w:pPr>
        <w:pStyle w:val="ListParagraph"/>
        <w:numPr>
          <w:ilvl w:val="2"/>
          <w:numId w:val="2"/>
        </w:numPr>
        <w:tabs>
          <w:tab w:val="left" w:pos="3925"/>
        </w:tabs>
        <w:spacing w:line="189" w:lineRule="auto"/>
        <w:ind w:right="469"/>
        <w:jc w:val="both"/>
        <w:rPr>
          <w:sz w:val="21"/>
        </w:rPr>
      </w:pPr>
      <w:r>
        <w:rPr>
          <w:sz w:val="21"/>
        </w:rPr>
        <w:t>The company shall not directly / indirectly purchase its own shares or other specified securities through any subsidiary company including its own subsidiary companies;</w:t>
      </w:r>
    </w:p>
    <w:p w:rsidR="00572458" w:rsidRDefault="00572458">
      <w:pPr>
        <w:pStyle w:val="BodyText"/>
        <w:spacing w:before="2"/>
        <w:rPr>
          <w:sz w:val="22"/>
        </w:rPr>
      </w:pPr>
    </w:p>
    <w:p w:rsidR="00572458" w:rsidRDefault="00861C1D">
      <w:pPr>
        <w:pStyle w:val="ListParagraph"/>
        <w:numPr>
          <w:ilvl w:val="2"/>
          <w:numId w:val="2"/>
        </w:numPr>
        <w:tabs>
          <w:tab w:val="left" w:pos="3925"/>
        </w:tabs>
        <w:ind w:right="471"/>
        <w:jc w:val="both"/>
        <w:rPr>
          <w:sz w:val="21"/>
        </w:rPr>
      </w:pPr>
      <w:r>
        <w:rPr>
          <w:sz w:val="21"/>
        </w:rPr>
        <w:t>The company shall include particulars of its subsidiary companies in its annual return;</w:t>
      </w:r>
    </w:p>
    <w:p w:rsidR="00572458" w:rsidRDefault="00572458">
      <w:pPr>
        <w:pStyle w:val="BodyText"/>
        <w:rPr>
          <w:sz w:val="24"/>
        </w:rPr>
      </w:pPr>
    </w:p>
    <w:p w:rsidR="00572458" w:rsidRDefault="00861C1D">
      <w:pPr>
        <w:pStyle w:val="ListParagraph"/>
        <w:numPr>
          <w:ilvl w:val="2"/>
          <w:numId w:val="2"/>
        </w:numPr>
        <w:tabs>
          <w:tab w:val="left" w:pos="3925"/>
        </w:tabs>
        <w:spacing w:before="164" w:line="189" w:lineRule="auto"/>
        <w:ind w:right="492"/>
        <w:jc w:val="both"/>
        <w:rPr>
          <w:sz w:val="21"/>
        </w:rPr>
      </w:pPr>
      <w:r>
        <w:rPr>
          <w:sz w:val="21"/>
        </w:rPr>
        <w:t>The company shall also attach along statement with its financial, a separate statement containing the salient features of the financial statement of its subsidiary or</w:t>
      </w:r>
      <w:r>
        <w:rPr>
          <w:spacing w:val="-3"/>
          <w:sz w:val="21"/>
        </w:rPr>
        <w:t xml:space="preserve"> </w:t>
      </w:r>
      <w:r>
        <w:rPr>
          <w:sz w:val="21"/>
        </w:rPr>
        <w:t>subsidiaries;</w:t>
      </w:r>
    </w:p>
    <w:p w:rsidR="00572458" w:rsidRDefault="00572458">
      <w:pPr>
        <w:pStyle w:val="BodyText"/>
        <w:rPr>
          <w:sz w:val="24"/>
        </w:rPr>
      </w:pPr>
    </w:p>
    <w:p w:rsidR="00572458" w:rsidRDefault="00861C1D">
      <w:pPr>
        <w:pStyle w:val="ListParagraph"/>
        <w:numPr>
          <w:ilvl w:val="2"/>
          <w:numId w:val="2"/>
        </w:numPr>
        <w:tabs>
          <w:tab w:val="left" w:pos="3925"/>
        </w:tabs>
        <w:spacing w:before="160" w:line="189" w:lineRule="auto"/>
        <w:ind w:right="490"/>
        <w:jc w:val="both"/>
        <w:rPr>
          <w:sz w:val="21"/>
        </w:rPr>
      </w:pPr>
      <w:r>
        <w:rPr>
          <w:sz w:val="21"/>
        </w:rPr>
        <w:t>The company shall, along with its financial statements to be filed with Registrar, attach the account of its subsidiary or subsidiaries which have been incorporated outside India &amp; which have not established their place of business in</w:t>
      </w:r>
      <w:r>
        <w:rPr>
          <w:spacing w:val="-29"/>
          <w:sz w:val="21"/>
        </w:rPr>
        <w:t xml:space="preserve"> </w:t>
      </w:r>
      <w:r>
        <w:rPr>
          <w:sz w:val="21"/>
        </w:rPr>
        <w:t>India;</w:t>
      </w:r>
    </w:p>
    <w:p w:rsidR="00572458" w:rsidRDefault="00572458">
      <w:pPr>
        <w:pStyle w:val="BodyText"/>
        <w:rPr>
          <w:sz w:val="24"/>
        </w:rPr>
      </w:pPr>
    </w:p>
    <w:p w:rsidR="00572458" w:rsidRDefault="00861C1D">
      <w:pPr>
        <w:pStyle w:val="ListParagraph"/>
        <w:numPr>
          <w:ilvl w:val="2"/>
          <w:numId w:val="2"/>
        </w:numPr>
        <w:tabs>
          <w:tab w:val="left" w:pos="3925"/>
        </w:tabs>
        <w:spacing w:before="160" w:line="189" w:lineRule="auto"/>
        <w:ind w:right="490"/>
        <w:jc w:val="both"/>
        <w:rPr>
          <w:sz w:val="21"/>
        </w:rPr>
      </w:pPr>
      <w:r>
        <w:rPr>
          <w:sz w:val="21"/>
        </w:rPr>
        <w:t>The company shall place separate audited accounts in respect of each of its subsidiary on its website, if any &amp; shall provide the copy of such audited financial statements to any shareholder of the company, who asks for</w:t>
      </w:r>
      <w:r>
        <w:rPr>
          <w:spacing w:val="-15"/>
          <w:sz w:val="21"/>
        </w:rPr>
        <w:t xml:space="preserve"> </w:t>
      </w:r>
      <w:r>
        <w:rPr>
          <w:sz w:val="21"/>
        </w:rPr>
        <w:t>it.</w:t>
      </w:r>
    </w:p>
    <w:p w:rsidR="00572458" w:rsidRDefault="00572458">
      <w:pPr>
        <w:spacing w:line="189" w:lineRule="auto"/>
        <w:jc w:val="both"/>
        <w:rPr>
          <w:sz w:val="21"/>
        </w:rPr>
        <w:sectPr w:rsidR="00572458">
          <w:pgSz w:w="15840" w:h="12240" w:orient="landscape"/>
          <w:pgMar w:top="0" w:right="1560" w:bottom="280" w:left="2260" w:header="720" w:footer="720" w:gutter="0"/>
          <w:cols w:space="720"/>
        </w:sectPr>
      </w:pPr>
    </w:p>
    <w:p w:rsidR="00861C1D" w:rsidRDefault="00861C1D" w:rsidP="00861C1D">
      <w:pPr>
        <w:pStyle w:val="ListParagraph"/>
        <w:tabs>
          <w:tab w:val="left" w:pos="3744"/>
          <w:tab w:val="left" w:pos="3745"/>
        </w:tabs>
        <w:spacing w:line="178" w:lineRule="exact"/>
        <w:ind w:left="3744" w:firstLine="0"/>
      </w:pPr>
    </w:p>
    <w:p w:rsidR="00861C1D" w:rsidRDefault="00861C1D" w:rsidP="00861C1D">
      <w:pPr>
        <w:pStyle w:val="ListParagraph"/>
        <w:tabs>
          <w:tab w:val="left" w:pos="3744"/>
          <w:tab w:val="left" w:pos="3745"/>
        </w:tabs>
        <w:spacing w:line="178" w:lineRule="exact"/>
        <w:ind w:left="3744" w:firstLine="0"/>
      </w:pPr>
    </w:p>
    <w:p w:rsidR="00572458" w:rsidRDefault="00861C1D" w:rsidP="00861C1D">
      <w:pPr>
        <w:pStyle w:val="ListParagraph"/>
        <w:tabs>
          <w:tab w:val="left" w:pos="3744"/>
          <w:tab w:val="left" w:pos="3745"/>
        </w:tabs>
        <w:spacing w:line="178" w:lineRule="exact"/>
        <w:ind w:left="3744" w:firstLine="0"/>
      </w:pPr>
      <w:r>
        <w:t>At</w:t>
      </w:r>
      <w:r w:rsidRPr="00861C1D">
        <w:rPr>
          <w:spacing w:val="23"/>
        </w:rPr>
        <w:t xml:space="preserve"> </w:t>
      </w:r>
      <w:r>
        <w:t>least</w:t>
      </w:r>
      <w:r w:rsidRPr="00861C1D">
        <w:rPr>
          <w:spacing w:val="24"/>
        </w:rPr>
        <w:t xml:space="preserve"> </w:t>
      </w:r>
      <w:r>
        <w:t>one</w:t>
      </w:r>
      <w:r w:rsidRPr="00861C1D">
        <w:rPr>
          <w:spacing w:val="22"/>
        </w:rPr>
        <w:t xml:space="preserve"> </w:t>
      </w:r>
      <w:r>
        <w:t>independent</w:t>
      </w:r>
      <w:r w:rsidRPr="00861C1D">
        <w:rPr>
          <w:spacing w:val="23"/>
        </w:rPr>
        <w:t xml:space="preserve"> </w:t>
      </w:r>
      <w:r>
        <w:t>director</w:t>
      </w:r>
      <w:r w:rsidRPr="00861C1D">
        <w:rPr>
          <w:spacing w:val="25"/>
        </w:rPr>
        <w:t xml:space="preserve"> </w:t>
      </w:r>
      <w:r>
        <w:t>on</w:t>
      </w:r>
      <w:r w:rsidRPr="00861C1D">
        <w:rPr>
          <w:spacing w:val="23"/>
        </w:rPr>
        <w:t xml:space="preserve"> </w:t>
      </w:r>
      <w:r>
        <w:t>the</w:t>
      </w:r>
      <w:r w:rsidRPr="00861C1D">
        <w:rPr>
          <w:spacing w:val="25"/>
        </w:rPr>
        <w:t xml:space="preserve"> </w:t>
      </w:r>
      <w:r>
        <w:t>Board</w:t>
      </w:r>
      <w:r w:rsidRPr="00861C1D">
        <w:rPr>
          <w:spacing w:val="22"/>
        </w:rPr>
        <w:t xml:space="preserve"> </w:t>
      </w:r>
      <w:r>
        <w:t>of</w:t>
      </w:r>
      <w:r w:rsidRPr="00861C1D">
        <w:rPr>
          <w:spacing w:val="22"/>
        </w:rPr>
        <w:t xml:space="preserve"> </w:t>
      </w:r>
      <w:r>
        <w:t>Directors</w:t>
      </w:r>
      <w:r w:rsidRPr="00861C1D">
        <w:rPr>
          <w:spacing w:val="26"/>
        </w:rPr>
        <w:t xml:space="preserve"> </w:t>
      </w:r>
      <w:r>
        <w:t>of</w:t>
      </w:r>
      <w:r w:rsidRPr="00861C1D">
        <w:rPr>
          <w:spacing w:val="24"/>
        </w:rPr>
        <w:t xml:space="preserve"> </w:t>
      </w:r>
      <w:r>
        <w:t>the</w:t>
      </w:r>
      <w:r w:rsidRPr="00861C1D">
        <w:rPr>
          <w:spacing w:val="25"/>
        </w:rPr>
        <w:t xml:space="preserve"> </w:t>
      </w:r>
      <w:r>
        <w:t>holding</w:t>
      </w:r>
      <w:r w:rsidRPr="00861C1D">
        <w:rPr>
          <w:spacing w:val="21"/>
        </w:rPr>
        <w:t xml:space="preserve"> </w:t>
      </w:r>
      <w:r>
        <w:t>company</w:t>
      </w:r>
    </w:p>
    <w:p w:rsidR="00572458" w:rsidRDefault="00861C1D">
      <w:pPr>
        <w:spacing w:before="1"/>
        <w:ind w:left="3744"/>
      </w:pPr>
      <w:proofErr w:type="gramStart"/>
      <w:r>
        <w:t>shall</w:t>
      </w:r>
      <w:proofErr w:type="gramEnd"/>
      <w:r>
        <w:t xml:space="preserve"> be a director on the Board of Directors of a material non-listed Indian subsidiary company;</w:t>
      </w:r>
    </w:p>
    <w:p w:rsidR="00572458" w:rsidRDefault="00572458">
      <w:pPr>
        <w:pStyle w:val="BodyText"/>
        <w:spacing w:before="10"/>
      </w:pPr>
    </w:p>
    <w:p w:rsidR="00572458" w:rsidRDefault="00861C1D">
      <w:pPr>
        <w:pStyle w:val="ListParagraph"/>
        <w:numPr>
          <w:ilvl w:val="0"/>
          <w:numId w:val="1"/>
        </w:numPr>
        <w:tabs>
          <w:tab w:val="left" w:pos="3745"/>
        </w:tabs>
        <w:spacing w:before="1"/>
        <w:ind w:right="110"/>
        <w:jc w:val="both"/>
      </w:pPr>
      <w:r>
        <w:t xml:space="preserve">The company shall not dispose of shares in its </w:t>
      </w:r>
      <w:r>
        <w:rPr>
          <w:b/>
        </w:rPr>
        <w:t xml:space="preserve">material subsidiary </w:t>
      </w:r>
      <w:r>
        <w:t>which would reduce its shareholding (either on its own or together with other subsidiaries) to less than 50% or cease the exercise of control over the subsidiary without passing a special resolution in its General Meeting except in cases where such disinvestment is made under a scheme of arrangement duly approved by a</w:t>
      </w:r>
      <w:r>
        <w:rPr>
          <w:spacing w:val="-19"/>
        </w:rPr>
        <w:t xml:space="preserve"> </w:t>
      </w:r>
      <w:r>
        <w:t>Court/Tribunal;</w:t>
      </w:r>
    </w:p>
    <w:p w:rsidR="00572458" w:rsidRDefault="00572458">
      <w:pPr>
        <w:pStyle w:val="BodyText"/>
        <w:rPr>
          <w:sz w:val="22"/>
        </w:rPr>
      </w:pPr>
    </w:p>
    <w:p w:rsidR="00572458" w:rsidRDefault="00861C1D">
      <w:pPr>
        <w:pStyle w:val="ListParagraph"/>
        <w:numPr>
          <w:ilvl w:val="0"/>
          <w:numId w:val="1"/>
        </w:numPr>
        <w:tabs>
          <w:tab w:val="left" w:pos="3745"/>
        </w:tabs>
        <w:ind w:right="110"/>
        <w:jc w:val="both"/>
      </w:pPr>
      <w:r>
        <w:t xml:space="preserve">The company shall not sell, dispose &amp; lease of assets amounting to more than 20% of the assets of the </w:t>
      </w:r>
      <w:r>
        <w:rPr>
          <w:b/>
        </w:rPr>
        <w:t xml:space="preserve">material subsidiary </w:t>
      </w:r>
      <w:r>
        <w:t>on an aggregate basis during a financial year without prior approval of the shareholders by way of passing special resolution in its General Meeting, unless the sale/disposal/lease is made under a scheme of arrangement duly approved by</w:t>
      </w:r>
      <w:r>
        <w:rPr>
          <w:spacing w:val="-8"/>
        </w:rPr>
        <w:t xml:space="preserve"> </w:t>
      </w:r>
      <w:r>
        <w:t>Court/Tribunal.</w:t>
      </w:r>
    </w:p>
    <w:p w:rsidR="00572458" w:rsidRDefault="00572458">
      <w:pPr>
        <w:pStyle w:val="BodyText"/>
        <w:spacing w:before="5"/>
        <w:rPr>
          <w:sz w:val="22"/>
        </w:rPr>
      </w:pPr>
    </w:p>
    <w:p w:rsidR="00572458" w:rsidRDefault="00861C1D">
      <w:pPr>
        <w:ind w:left="3024"/>
        <w:rPr>
          <w:b/>
        </w:rPr>
      </w:pPr>
      <w:r>
        <w:rPr>
          <w:b/>
          <w:u w:val="single"/>
        </w:rPr>
        <w:t>COMPLIANCE BY STEP DOWN SUBSIDIARIES</w:t>
      </w:r>
    </w:p>
    <w:p w:rsidR="00572458" w:rsidRDefault="00861C1D">
      <w:pPr>
        <w:spacing w:before="201" w:line="316" w:lineRule="auto"/>
        <w:ind w:left="3024"/>
      </w:pPr>
      <w:r>
        <w:t>Where a company has a listed subsidiary which is itself a holding company, this policy shall apply to the listed subsidiary insofar as its subsidiaries are concerned.</w:t>
      </w:r>
    </w:p>
    <w:p w:rsidR="00572458" w:rsidRDefault="00572458">
      <w:pPr>
        <w:pStyle w:val="BodyText"/>
        <w:spacing w:before="8"/>
        <w:rPr>
          <w:sz w:val="27"/>
        </w:rPr>
      </w:pPr>
    </w:p>
    <w:p w:rsidR="00572458" w:rsidRDefault="00861C1D">
      <w:pPr>
        <w:ind w:left="3024"/>
        <w:rPr>
          <w:b/>
        </w:rPr>
      </w:pPr>
      <w:r>
        <w:rPr>
          <w:b/>
          <w:u w:val="single"/>
        </w:rPr>
        <w:t>DISCLOSURES</w:t>
      </w:r>
    </w:p>
    <w:p w:rsidR="00572458" w:rsidRDefault="00572458">
      <w:pPr>
        <w:pStyle w:val="BodyText"/>
        <w:spacing w:before="10"/>
        <w:rPr>
          <w:b/>
          <w:sz w:val="14"/>
        </w:rPr>
      </w:pPr>
    </w:p>
    <w:p w:rsidR="00572458" w:rsidRDefault="00861C1D">
      <w:pPr>
        <w:spacing w:before="101" w:line="316" w:lineRule="auto"/>
        <w:ind w:left="3024"/>
      </w:pPr>
      <w:r>
        <w:t>The material subsidiaries policy shall be disclosed on the company’s website &amp; a web link thereto shall be provided in the Annual Report.</w:t>
      </w:r>
    </w:p>
    <w:p w:rsidR="00572458" w:rsidRDefault="00572458">
      <w:pPr>
        <w:pStyle w:val="BodyText"/>
        <w:spacing w:before="8"/>
        <w:rPr>
          <w:sz w:val="27"/>
        </w:rPr>
      </w:pPr>
    </w:p>
    <w:p w:rsidR="00572458" w:rsidRDefault="00861C1D">
      <w:pPr>
        <w:ind w:left="3024"/>
        <w:rPr>
          <w:b/>
        </w:rPr>
      </w:pPr>
      <w:r>
        <w:rPr>
          <w:b/>
          <w:u w:val="single"/>
        </w:rPr>
        <w:t>AMENDMENT</w:t>
      </w:r>
    </w:p>
    <w:p w:rsidR="00572458" w:rsidRDefault="00861C1D">
      <w:pPr>
        <w:spacing w:before="231"/>
        <w:ind w:left="3024" w:right="126"/>
      </w:pPr>
      <w:r>
        <w:t>The Company reserves the right to amend or modify this Policy in whole or in part, at any point of</w:t>
      </w:r>
      <w:r>
        <w:rPr>
          <w:spacing w:val="-4"/>
        </w:rPr>
        <w:t xml:space="preserve"> </w:t>
      </w:r>
      <w:r>
        <w:t>time.</w:t>
      </w:r>
    </w:p>
    <w:sectPr w:rsidR="00572458">
      <w:pgSz w:w="15840" w:h="12240" w:orient="landscape"/>
      <w:pgMar w:top="0" w:right="15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60B8"/>
    <w:multiLevelType w:val="hybridMultilevel"/>
    <w:tmpl w:val="943C5C4C"/>
    <w:lvl w:ilvl="0" w:tplc="60948B0C">
      <w:numFmt w:val="bullet"/>
      <w:lvlText w:val=""/>
      <w:lvlJc w:val="left"/>
      <w:pPr>
        <w:ind w:left="3744" w:hanging="360"/>
      </w:pPr>
      <w:rPr>
        <w:rFonts w:ascii="Symbol" w:eastAsia="Symbol" w:hAnsi="Symbol" w:cs="Symbol" w:hint="default"/>
        <w:w w:val="100"/>
        <w:sz w:val="22"/>
        <w:szCs w:val="22"/>
        <w:lang w:val="en-US" w:eastAsia="en-US" w:bidi="en-US"/>
      </w:rPr>
    </w:lvl>
    <w:lvl w:ilvl="1" w:tplc="DE4834AC">
      <w:numFmt w:val="bullet"/>
      <w:lvlText w:val="•"/>
      <w:lvlJc w:val="left"/>
      <w:pPr>
        <w:ind w:left="4568" w:hanging="360"/>
      </w:pPr>
      <w:rPr>
        <w:rFonts w:hint="default"/>
        <w:lang w:val="en-US" w:eastAsia="en-US" w:bidi="en-US"/>
      </w:rPr>
    </w:lvl>
    <w:lvl w:ilvl="2" w:tplc="2278B8C8">
      <w:numFmt w:val="bullet"/>
      <w:lvlText w:val="•"/>
      <w:lvlJc w:val="left"/>
      <w:pPr>
        <w:ind w:left="5396" w:hanging="360"/>
      </w:pPr>
      <w:rPr>
        <w:rFonts w:hint="default"/>
        <w:lang w:val="en-US" w:eastAsia="en-US" w:bidi="en-US"/>
      </w:rPr>
    </w:lvl>
    <w:lvl w:ilvl="3" w:tplc="429A77A6">
      <w:numFmt w:val="bullet"/>
      <w:lvlText w:val="•"/>
      <w:lvlJc w:val="left"/>
      <w:pPr>
        <w:ind w:left="6224" w:hanging="360"/>
      </w:pPr>
      <w:rPr>
        <w:rFonts w:hint="default"/>
        <w:lang w:val="en-US" w:eastAsia="en-US" w:bidi="en-US"/>
      </w:rPr>
    </w:lvl>
    <w:lvl w:ilvl="4" w:tplc="7DBC2E7A">
      <w:numFmt w:val="bullet"/>
      <w:lvlText w:val="•"/>
      <w:lvlJc w:val="left"/>
      <w:pPr>
        <w:ind w:left="7052" w:hanging="360"/>
      </w:pPr>
      <w:rPr>
        <w:rFonts w:hint="default"/>
        <w:lang w:val="en-US" w:eastAsia="en-US" w:bidi="en-US"/>
      </w:rPr>
    </w:lvl>
    <w:lvl w:ilvl="5" w:tplc="87C65002">
      <w:numFmt w:val="bullet"/>
      <w:lvlText w:val="•"/>
      <w:lvlJc w:val="left"/>
      <w:pPr>
        <w:ind w:left="7880" w:hanging="360"/>
      </w:pPr>
      <w:rPr>
        <w:rFonts w:hint="default"/>
        <w:lang w:val="en-US" w:eastAsia="en-US" w:bidi="en-US"/>
      </w:rPr>
    </w:lvl>
    <w:lvl w:ilvl="6" w:tplc="B896FBF2">
      <w:numFmt w:val="bullet"/>
      <w:lvlText w:val="•"/>
      <w:lvlJc w:val="left"/>
      <w:pPr>
        <w:ind w:left="8708" w:hanging="360"/>
      </w:pPr>
      <w:rPr>
        <w:rFonts w:hint="default"/>
        <w:lang w:val="en-US" w:eastAsia="en-US" w:bidi="en-US"/>
      </w:rPr>
    </w:lvl>
    <w:lvl w:ilvl="7" w:tplc="31C47C70">
      <w:numFmt w:val="bullet"/>
      <w:lvlText w:val="•"/>
      <w:lvlJc w:val="left"/>
      <w:pPr>
        <w:ind w:left="9536" w:hanging="360"/>
      </w:pPr>
      <w:rPr>
        <w:rFonts w:hint="default"/>
        <w:lang w:val="en-US" w:eastAsia="en-US" w:bidi="en-US"/>
      </w:rPr>
    </w:lvl>
    <w:lvl w:ilvl="8" w:tplc="7A442444">
      <w:numFmt w:val="bullet"/>
      <w:lvlText w:val="•"/>
      <w:lvlJc w:val="left"/>
      <w:pPr>
        <w:ind w:left="10364" w:hanging="360"/>
      </w:pPr>
      <w:rPr>
        <w:rFonts w:hint="default"/>
        <w:lang w:val="en-US" w:eastAsia="en-US" w:bidi="en-US"/>
      </w:rPr>
    </w:lvl>
  </w:abstractNum>
  <w:abstractNum w:abstractNumId="1">
    <w:nsid w:val="4A916F88"/>
    <w:multiLevelType w:val="hybridMultilevel"/>
    <w:tmpl w:val="1B6A0D70"/>
    <w:lvl w:ilvl="0" w:tplc="C540AE2E">
      <w:start w:val="5"/>
      <w:numFmt w:val="decimal"/>
      <w:lvlText w:val="%1."/>
      <w:lvlJc w:val="left"/>
      <w:pPr>
        <w:ind w:left="3473" w:hanging="360"/>
        <w:jc w:val="left"/>
      </w:pPr>
      <w:rPr>
        <w:rFonts w:ascii="Cambria" w:eastAsia="Cambria" w:hAnsi="Cambria" w:cs="Cambria" w:hint="default"/>
        <w:b/>
        <w:bCs/>
        <w:spacing w:val="-1"/>
        <w:w w:val="100"/>
        <w:sz w:val="21"/>
        <w:szCs w:val="21"/>
        <w:lang w:val="en-US" w:eastAsia="en-US" w:bidi="en-US"/>
      </w:rPr>
    </w:lvl>
    <w:lvl w:ilvl="1" w:tplc="C7E082CE">
      <w:numFmt w:val="bullet"/>
      <w:lvlText w:val=""/>
      <w:lvlJc w:val="left"/>
      <w:pPr>
        <w:ind w:left="3833" w:hanging="360"/>
      </w:pPr>
      <w:rPr>
        <w:rFonts w:ascii="Symbol" w:eastAsia="Symbol" w:hAnsi="Symbol" w:cs="Symbol" w:hint="default"/>
        <w:w w:val="99"/>
        <w:sz w:val="20"/>
        <w:szCs w:val="20"/>
        <w:lang w:val="en-US" w:eastAsia="en-US" w:bidi="en-US"/>
      </w:rPr>
    </w:lvl>
    <w:lvl w:ilvl="2" w:tplc="B2120768">
      <w:numFmt w:val="bullet"/>
      <w:lvlText w:val=""/>
      <w:lvlJc w:val="left"/>
      <w:pPr>
        <w:ind w:left="3924" w:hanging="360"/>
      </w:pPr>
      <w:rPr>
        <w:rFonts w:ascii="Wingdings" w:eastAsia="Wingdings" w:hAnsi="Wingdings" w:cs="Wingdings" w:hint="default"/>
        <w:b/>
        <w:bCs/>
        <w:w w:val="100"/>
        <w:sz w:val="22"/>
        <w:szCs w:val="22"/>
        <w:lang w:val="en-US" w:eastAsia="en-US" w:bidi="en-US"/>
      </w:rPr>
    </w:lvl>
    <w:lvl w:ilvl="3" w:tplc="A042AC16">
      <w:numFmt w:val="bullet"/>
      <w:lvlText w:val=""/>
      <w:lvlJc w:val="left"/>
      <w:pPr>
        <w:ind w:left="4644" w:hanging="360"/>
      </w:pPr>
      <w:rPr>
        <w:rFonts w:ascii="Symbol" w:eastAsia="Symbol" w:hAnsi="Symbol" w:cs="Symbol" w:hint="default"/>
        <w:w w:val="100"/>
        <w:sz w:val="21"/>
        <w:szCs w:val="21"/>
        <w:lang w:val="en-US" w:eastAsia="en-US" w:bidi="en-US"/>
      </w:rPr>
    </w:lvl>
    <w:lvl w:ilvl="4" w:tplc="67965834">
      <w:numFmt w:val="bullet"/>
      <w:lvlText w:val="•"/>
      <w:lvlJc w:val="left"/>
      <w:pPr>
        <w:ind w:left="5694" w:hanging="360"/>
      </w:pPr>
      <w:rPr>
        <w:rFonts w:hint="default"/>
        <w:lang w:val="en-US" w:eastAsia="en-US" w:bidi="en-US"/>
      </w:rPr>
    </w:lvl>
    <w:lvl w:ilvl="5" w:tplc="334429AA">
      <w:numFmt w:val="bullet"/>
      <w:lvlText w:val="•"/>
      <w:lvlJc w:val="left"/>
      <w:pPr>
        <w:ind w:left="6748" w:hanging="360"/>
      </w:pPr>
      <w:rPr>
        <w:rFonts w:hint="default"/>
        <w:lang w:val="en-US" w:eastAsia="en-US" w:bidi="en-US"/>
      </w:rPr>
    </w:lvl>
    <w:lvl w:ilvl="6" w:tplc="B6C8881A">
      <w:numFmt w:val="bullet"/>
      <w:lvlText w:val="•"/>
      <w:lvlJc w:val="left"/>
      <w:pPr>
        <w:ind w:left="7802" w:hanging="360"/>
      </w:pPr>
      <w:rPr>
        <w:rFonts w:hint="default"/>
        <w:lang w:val="en-US" w:eastAsia="en-US" w:bidi="en-US"/>
      </w:rPr>
    </w:lvl>
    <w:lvl w:ilvl="7" w:tplc="DA5211D0">
      <w:numFmt w:val="bullet"/>
      <w:lvlText w:val="•"/>
      <w:lvlJc w:val="left"/>
      <w:pPr>
        <w:ind w:left="8857" w:hanging="360"/>
      </w:pPr>
      <w:rPr>
        <w:rFonts w:hint="default"/>
        <w:lang w:val="en-US" w:eastAsia="en-US" w:bidi="en-US"/>
      </w:rPr>
    </w:lvl>
    <w:lvl w:ilvl="8" w:tplc="C45CB0EC">
      <w:numFmt w:val="bullet"/>
      <w:lvlText w:val="•"/>
      <w:lvlJc w:val="left"/>
      <w:pPr>
        <w:ind w:left="9911" w:hanging="360"/>
      </w:pPr>
      <w:rPr>
        <w:rFonts w:hint="default"/>
        <w:lang w:val="en-US" w:eastAsia="en-US" w:bidi="en-US"/>
      </w:rPr>
    </w:lvl>
  </w:abstractNum>
  <w:abstractNum w:abstractNumId="2">
    <w:nsid w:val="610953AA"/>
    <w:multiLevelType w:val="hybridMultilevel"/>
    <w:tmpl w:val="B8CA9C0C"/>
    <w:lvl w:ilvl="0" w:tplc="030C2628">
      <w:start w:val="1"/>
      <w:numFmt w:val="decimal"/>
      <w:lvlText w:val="%1."/>
      <w:lvlJc w:val="left"/>
      <w:pPr>
        <w:ind w:left="2746" w:hanging="360"/>
        <w:jc w:val="left"/>
      </w:pPr>
      <w:rPr>
        <w:rFonts w:ascii="Cambria" w:eastAsia="Cambria" w:hAnsi="Cambria" w:cs="Cambria" w:hint="default"/>
        <w:b/>
        <w:bCs/>
        <w:spacing w:val="-1"/>
        <w:w w:val="100"/>
        <w:sz w:val="21"/>
        <w:szCs w:val="21"/>
        <w:lang w:val="en-US" w:eastAsia="en-US" w:bidi="en-US"/>
      </w:rPr>
    </w:lvl>
    <w:lvl w:ilvl="1" w:tplc="57167ABA">
      <w:start w:val="1"/>
      <w:numFmt w:val="lowerRoman"/>
      <w:lvlText w:val="%2."/>
      <w:lvlJc w:val="left"/>
      <w:pPr>
        <w:ind w:left="3466" w:hanging="466"/>
        <w:jc w:val="left"/>
      </w:pPr>
      <w:rPr>
        <w:rFonts w:ascii="Cambria" w:eastAsia="Cambria" w:hAnsi="Cambria" w:cs="Cambria" w:hint="default"/>
        <w:spacing w:val="-2"/>
        <w:w w:val="100"/>
        <w:sz w:val="21"/>
        <w:szCs w:val="21"/>
        <w:lang w:val="en-US" w:eastAsia="en-US" w:bidi="en-US"/>
      </w:rPr>
    </w:lvl>
    <w:lvl w:ilvl="2" w:tplc="D4600A62">
      <w:numFmt w:val="bullet"/>
      <w:lvlText w:val="•"/>
      <w:lvlJc w:val="left"/>
      <w:pPr>
        <w:ind w:left="4411" w:hanging="466"/>
      </w:pPr>
      <w:rPr>
        <w:rFonts w:hint="default"/>
        <w:lang w:val="en-US" w:eastAsia="en-US" w:bidi="en-US"/>
      </w:rPr>
    </w:lvl>
    <w:lvl w:ilvl="3" w:tplc="A1CCA9E4">
      <w:numFmt w:val="bullet"/>
      <w:lvlText w:val="•"/>
      <w:lvlJc w:val="left"/>
      <w:pPr>
        <w:ind w:left="5362" w:hanging="466"/>
      </w:pPr>
      <w:rPr>
        <w:rFonts w:hint="default"/>
        <w:lang w:val="en-US" w:eastAsia="en-US" w:bidi="en-US"/>
      </w:rPr>
    </w:lvl>
    <w:lvl w:ilvl="4" w:tplc="01487084">
      <w:numFmt w:val="bullet"/>
      <w:lvlText w:val="•"/>
      <w:lvlJc w:val="left"/>
      <w:pPr>
        <w:ind w:left="6313" w:hanging="466"/>
      </w:pPr>
      <w:rPr>
        <w:rFonts w:hint="default"/>
        <w:lang w:val="en-US" w:eastAsia="en-US" w:bidi="en-US"/>
      </w:rPr>
    </w:lvl>
    <w:lvl w:ilvl="5" w:tplc="EAE612AC">
      <w:numFmt w:val="bullet"/>
      <w:lvlText w:val="•"/>
      <w:lvlJc w:val="left"/>
      <w:pPr>
        <w:ind w:left="7264" w:hanging="466"/>
      </w:pPr>
      <w:rPr>
        <w:rFonts w:hint="default"/>
        <w:lang w:val="en-US" w:eastAsia="en-US" w:bidi="en-US"/>
      </w:rPr>
    </w:lvl>
    <w:lvl w:ilvl="6" w:tplc="907451D6">
      <w:numFmt w:val="bullet"/>
      <w:lvlText w:val="•"/>
      <w:lvlJc w:val="left"/>
      <w:pPr>
        <w:ind w:left="8215" w:hanging="466"/>
      </w:pPr>
      <w:rPr>
        <w:rFonts w:hint="default"/>
        <w:lang w:val="en-US" w:eastAsia="en-US" w:bidi="en-US"/>
      </w:rPr>
    </w:lvl>
    <w:lvl w:ilvl="7" w:tplc="05CE1508">
      <w:numFmt w:val="bullet"/>
      <w:lvlText w:val="•"/>
      <w:lvlJc w:val="left"/>
      <w:pPr>
        <w:ind w:left="9166" w:hanging="466"/>
      </w:pPr>
      <w:rPr>
        <w:rFonts w:hint="default"/>
        <w:lang w:val="en-US" w:eastAsia="en-US" w:bidi="en-US"/>
      </w:rPr>
    </w:lvl>
    <w:lvl w:ilvl="8" w:tplc="35461830">
      <w:numFmt w:val="bullet"/>
      <w:lvlText w:val="•"/>
      <w:lvlJc w:val="left"/>
      <w:pPr>
        <w:ind w:left="10117" w:hanging="466"/>
      </w:pPr>
      <w:rPr>
        <w:rFonts w:hint="default"/>
        <w:lang w:val="en-US" w:eastAsia="en-US" w:bidi="en-US"/>
      </w:rPr>
    </w:lvl>
  </w:abstractNum>
  <w:abstractNum w:abstractNumId="3">
    <w:nsid w:val="7C74356F"/>
    <w:multiLevelType w:val="hybridMultilevel"/>
    <w:tmpl w:val="3C9ED058"/>
    <w:lvl w:ilvl="0" w:tplc="38382580">
      <w:start w:val="1"/>
      <w:numFmt w:val="lowerLetter"/>
      <w:lvlText w:val="%1."/>
      <w:lvlJc w:val="left"/>
      <w:pPr>
        <w:ind w:left="3567" w:hanging="550"/>
        <w:jc w:val="left"/>
      </w:pPr>
      <w:rPr>
        <w:rFonts w:ascii="Cambria" w:eastAsia="Cambria" w:hAnsi="Cambria" w:cs="Cambria" w:hint="default"/>
        <w:spacing w:val="-1"/>
        <w:w w:val="100"/>
        <w:sz w:val="21"/>
        <w:szCs w:val="21"/>
        <w:lang w:val="en-US" w:eastAsia="en-US" w:bidi="en-US"/>
      </w:rPr>
    </w:lvl>
    <w:lvl w:ilvl="1" w:tplc="E5DCBE5A">
      <w:numFmt w:val="bullet"/>
      <w:lvlText w:val="•"/>
      <w:lvlJc w:val="left"/>
      <w:pPr>
        <w:ind w:left="4406" w:hanging="550"/>
      </w:pPr>
      <w:rPr>
        <w:rFonts w:hint="default"/>
        <w:lang w:val="en-US" w:eastAsia="en-US" w:bidi="en-US"/>
      </w:rPr>
    </w:lvl>
    <w:lvl w:ilvl="2" w:tplc="12B85C34">
      <w:numFmt w:val="bullet"/>
      <w:lvlText w:val="•"/>
      <w:lvlJc w:val="left"/>
      <w:pPr>
        <w:ind w:left="5252" w:hanging="550"/>
      </w:pPr>
      <w:rPr>
        <w:rFonts w:hint="default"/>
        <w:lang w:val="en-US" w:eastAsia="en-US" w:bidi="en-US"/>
      </w:rPr>
    </w:lvl>
    <w:lvl w:ilvl="3" w:tplc="C8EECAEE">
      <w:numFmt w:val="bullet"/>
      <w:lvlText w:val="•"/>
      <w:lvlJc w:val="left"/>
      <w:pPr>
        <w:ind w:left="6098" w:hanging="550"/>
      </w:pPr>
      <w:rPr>
        <w:rFonts w:hint="default"/>
        <w:lang w:val="en-US" w:eastAsia="en-US" w:bidi="en-US"/>
      </w:rPr>
    </w:lvl>
    <w:lvl w:ilvl="4" w:tplc="AAA88A16">
      <w:numFmt w:val="bullet"/>
      <w:lvlText w:val="•"/>
      <w:lvlJc w:val="left"/>
      <w:pPr>
        <w:ind w:left="6944" w:hanging="550"/>
      </w:pPr>
      <w:rPr>
        <w:rFonts w:hint="default"/>
        <w:lang w:val="en-US" w:eastAsia="en-US" w:bidi="en-US"/>
      </w:rPr>
    </w:lvl>
    <w:lvl w:ilvl="5" w:tplc="D8468B9E">
      <w:numFmt w:val="bullet"/>
      <w:lvlText w:val="•"/>
      <w:lvlJc w:val="left"/>
      <w:pPr>
        <w:ind w:left="7790" w:hanging="550"/>
      </w:pPr>
      <w:rPr>
        <w:rFonts w:hint="default"/>
        <w:lang w:val="en-US" w:eastAsia="en-US" w:bidi="en-US"/>
      </w:rPr>
    </w:lvl>
    <w:lvl w:ilvl="6" w:tplc="9E3AA3B0">
      <w:numFmt w:val="bullet"/>
      <w:lvlText w:val="•"/>
      <w:lvlJc w:val="left"/>
      <w:pPr>
        <w:ind w:left="8636" w:hanging="550"/>
      </w:pPr>
      <w:rPr>
        <w:rFonts w:hint="default"/>
        <w:lang w:val="en-US" w:eastAsia="en-US" w:bidi="en-US"/>
      </w:rPr>
    </w:lvl>
    <w:lvl w:ilvl="7" w:tplc="3AECF9BE">
      <w:numFmt w:val="bullet"/>
      <w:lvlText w:val="•"/>
      <w:lvlJc w:val="left"/>
      <w:pPr>
        <w:ind w:left="9482" w:hanging="550"/>
      </w:pPr>
      <w:rPr>
        <w:rFonts w:hint="default"/>
        <w:lang w:val="en-US" w:eastAsia="en-US" w:bidi="en-US"/>
      </w:rPr>
    </w:lvl>
    <w:lvl w:ilvl="8" w:tplc="8BC6D186">
      <w:numFmt w:val="bullet"/>
      <w:lvlText w:val="•"/>
      <w:lvlJc w:val="left"/>
      <w:pPr>
        <w:ind w:left="10328" w:hanging="550"/>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2458"/>
    <w:rsid w:val="00572458"/>
    <w:rsid w:val="006264D8"/>
    <w:rsid w:val="00845464"/>
    <w:rsid w:val="00861C1D"/>
    <w:rsid w:val="00CD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2746" w:hanging="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924"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Material_Subsidiary_Policy</dc:title>
  <dc:creator>user</dc:creator>
  <cp:lastModifiedBy>sushma Reddy</cp:lastModifiedBy>
  <cp:revision>5</cp:revision>
  <dcterms:created xsi:type="dcterms:W3CDTF">2019-01-31T05:44:00Z</dcterms:created>
  <dcterms:modified xsi:type="dcterms:W3CDTF">2019-02-15T09:33:00Z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2016-01-30T00:00:00Z</vt:filetime>
  </property>
  <property fmtid="{D5CDD505-2E9C-101B-9397-08002B2CF9AE}" pid="3" name="Creator">
    <vt:lpwstr>PScript5.dll Version 5.2</vt:lpwstr>
  </property>
  <property fmtid="{D5CDD505-2E9C-101B-9397-08002B2CF9AE}" pid="4" name="LastSaved">
    <vt:filetime>2019-01-31T00:00:00Z</vt:filetime>
  </property>
</Properties>
</file>